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  <w:b/>
          <w:bCs/>
        </w:rPr>
      </w:pPr>
      <w:r w:rsidRPr="00346B76">
        <w:rPr>
          <w:rFonts w:ascii="DINOT-Bold" w:hAnsi="DINOT-Bold" w:cs="DINOT-Bold"/>
          <w:b/>
          <w:bCs/>
        </w:rPr>
        <w:t>Unit Planning</w:t>
      </w:r>
    </w:p>
    <w:p w:rsidR="00346B76" w:rsidRPr="00346B76" w:rsidRDefault="00346B76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  <w:b/>
          <w:bCs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  <w:r w:rsidRPr="00346B76">
        <w:rPr>
          <w:rFonts w:ascii="DINOT-Bold" w:hAnsi="DINOT-Bold" w:cs="DINOT-Bold"/>
        </w:rPr>
        <w:t>The unit planning process involves eight steps:</w:t>
      </w:r>
    </w:p>
    <w:p w:rsidR="00346B76" w:rsidRPr="00346B76" w:rsidRDefault="00346B76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  <w:b/>
          <w:bCs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  <w:b/>
          <w:bCs/>
        </w:rPr>
      </w:pPr>
      <w:r w:rsidRPr="00346B76">
        <w:rPr>
          <w:rFonts w:ascii="DINOT-Bold" w:hAnsi="DINOT-Bold" w:cs="DINOT-Bold"/>
          <w:b/>
          <w:bCs/>
        </w:rPr>
        <w:t>I. Develop your unit vision</w:t>
      </w: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  <w:r w:rsidRPr="00346B76">
        <w:rPr>
          <w:rFonts w:ascii="DINOT-Bold" w:hAnsi="DINOT-Bold" w:cs="DINOT-Bold"/>
        </w:rPr>
        <w:t>Unpack your standards to clearly understand what evidence you will need to see from students in</w:t>
      </w:r>
      <w:r w:rsidR="00346B76" w:rsidRP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order to know whether they have achieved the unit goal. Then decide among the types of units</w:t>
      </w:r>
      <w:r w:rsidR="00346B76" w:rsidRP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you might design: goals-based units (which revolve around the learning goals themselves for one</w:t>
      </w:r>
      <w:r w:rsidR="00346B76" w:rsidRP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content area), thematic units (which use a common theme to draw in various learning goals from</w:t>
      </w:r>
      <w:r w:rsidR="00346B76" w:rsidRP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different areas), and project-based units (which focus on an end-product, some creation or event</w:t>
      </w:r>
      <w:r w:rsidR="00346B76" w:rsidRP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that will serve as the vehicle for students’ mastery of the learning goals).</w:t>
      </w:r>
    </w:p>
    <w:p w:rsidR="00346B76" w:rsidRPr="00346B76" w:rsidRDefault="00346B76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  <w:b/>
          <w:bCs/>
        </w:rPr>
      </w:pPr>
      <w:r w:rsidRPr="00346B76">
        <w:rPr>
          <w:rFonts w:ascii="DINOT-Bold" w:hAnsi="DINOT-Bold" w:cs="DINOT-Bold"/>
          <w:b/>
          <w:bCs/>
        </w:rPr>
        <w:t>II. Create your summative unit assessment</w:t>
      </w: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  <w:r w:rsidRPr="00346B76">
        <w:rPr>
          <w:rFonts w:ascii="DINOT-Bold" w:hAnsi="DINOT-Bold" w:cs="DINOT-Bold"/>
        </w:rPr>
        <w:t>Successful teachers create their end-of-unit assessment tool before they begin teaching the unit.</w:t>
      </w:r>
      <w:r w:rsid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Begin to purposefully choose tasks that will allow students to demonstrate their mastery of the</w:t>
      </w:r>
      <w:r w:rsidR="00346B76" w:rsidRP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unit goal. This will serve as an initial framework for your assessment that will later feature</w:t>
      </w:r>
      <w:r w:rsidR="00346B76" w:rsidRP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questions that test each individual objective. After creating your assessment begin to anticipate</w:t>
      </w:r>
      <w:r w:rsidR="00346B76" w:rsidRP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potential student misunderstandings of your unit content.</w:t>
      </w:r>
    </w:p>
    <w:p w:rsidR="00346B76" w:rsidRPr="00346B76" w:rsidRDefault="00346B76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  <w:b/>
          <w:bCs/>
        </w:rPr>
      </w:pPr>
      <w:r w:rsidRPr="00346B76">
        <w:rPr>
          <w:rFonts w:ascii="DINOT-Bold" w:hAnsi="DINOT-Bold" w:cs="DINOT-Bold"/>
          <w:b/>
          <w:bCs/>
        </w:rPr>
        <w:t>III. Translate your learning goals into lesson objectives</w:t>
      </w: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  <w:r w:rsidRPr="00346B76">
        <w:rPr>
          <w:rFonts w:ascii="DINOT-Bold" w:hAnsi="DINOT-Bold" w:cs="DINOT-Bold"/>
        </w:rPr>
        <w:t>You must translate your general learning goals into more specific lesson objectives. These</w:t>
      </w:r>
      <w:r w:rsidR="00346B76" w:rsidRP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objectives should be student-achievement based, measurable, and rigorous. Consider all of the</w:t>
      </w:r>
      <w:r w:rsidR="00346B76" w:rsidRP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prerequisite knowledge and skills that a child may need to perform the goals you outline.</w:t>
      </w:r>
    </w:p>
    <w:p w:rsidR="00346B76" w:rsidRPr="00346B76" w:rsidRDefault="00346B76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  <w:b/>
          <w:bCs/>
        </w:rPr>
      </w:pPr>
      <w:r w:rsidRPr="00346B76">
        <w:rPr>
          <w:rFonts w:ascii="DINOT-Bold" w:hAnsi="DINOT-Bold" w:cs="DINOT-Bold"/>
          <w:b/>
          <w:bCs/>
        </w:rPr>
        <w:t>IV. Sequence your content and scaffold your lesson objectives</w:t>
      </w:r>
    </w:p>
    <w:p w:rsidR="0073205A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  <w:r w:rsidRPr="00346B76">
        <w:rPr>
          <w:rFonts w:ascii="DINOT-Bold" w:hAnsi="DINOT-Bold" w:cs="DINOT-Bold"/>
        </w:rPr>
        <w:t>The fourth step is to think critically about how you will order your content and scaffold those</w:t>
      </w:r>
      <w:r w:rsidR="00346B76" w:rsidRP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objectives over the course of your unit. You need to consider what order will result in the most</w:t>
      </w:r>
      <w:r w:rsid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effective sequencing of the objectives, based on Bloom’s Taxonomy and level of rigor.</w:t>
      </w:r>
    </w:p>
    <w:p w:rsidR="00346B76" w:rsidRPr="00346B76" w:rsidRDefault="00346B76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  <w:b/>
          <w:bCs/>
        </w:rPr>
      </w:pPr>
      <w:r w:rsidRPr="00346B76">
        <w:rPr>
          <w:rFonts w:ascii="DINOT-Bold" w:hAnsi="DINOT-Bold" w:cs="DINOT-Bold"/>
          <w:b/>
          <w:bCs/>
        </w:rPr>
        <w:t>V. Schedule your objectives on the school calendar</w:t>
      </w:r>
    </w:p>
    <w:p w:rsidR="0073205A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  <w:r w:rsidRPr="00346B76">
        <w:rPr>
          <w:rFonts w:ascii="DINOT-Bold" w:hAnsi="DINOT-Bold" w:cs="DINOT-Bold"/>
        </w:rPr>
        <w:t>Use a school calendar to plot the lesson objectives, ensuring that you have allotted enough time</w:t>
      </w:r>
      <w:r w:rsid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for the knowledge and skills you wish to teach and recognizing various days or weeks that won’t</w:t>
      </w:r>
      <w:r w:rsid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allow for regular ins</w:t>
      </w:r>
      <w:r w:rsidR="00346B76">
        <w:rPr>
          <w:rFonts w:ascii="DINOT-Bold" w:hAnsi="DINOT-Bold" w:cs="DINOT-Bold"/>
        </w:rPr>
        <w:t xml:space="preserve">truction. Make sure to plan for </w:t>
      </w:r>
      <w:r w:rsidRPr="00346B76">
        <w:rPr>
          <w:rFonts w:ascii="DINOT-Bold" w:hAnsi="DINOT-Bold" w:cs="DINOT-Bold"/>
        </w:rPr>
        <w:t>remediation, enrichment, and contingencies,</w:t>
      </w:r>
      <w:r w:rsid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 xml:space="preserve">and check your </w:t>
      </w:r>
      <w:proofErr w:type="gramStart"/>
      <w:r w:rsidRPr="00346B76">
        <w:rPr>
          <w:rFonts w:ascii="DINOT-Bold" w:hAnsi="DINOT-Bold" w:cs="DINOT-Bold"/>
        </w:rPr>
        <w:t>unit plan</w:t>
      </w:r>
      <w:proofErr w:type="gramEnd"/>
      <w:r w:rsidRPr="00346B76">
        <w:rPr>
          <w:rFonts w:ascii="DINOT-Bold" w:hAnsi="DINOT-Bold" w:cs="DINOT-Bold"/>
        </w:rPr>
        <w:t xml:space="preserve"> for alignment with other instructional tools.</w:t>
      </w:r>
    </w:p>
    <w:p w:rsidR="00346B76" w:rsidRPr="00346B76" w:rsidRDefault="00346B76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  <w:b/>
          <w:bCs/>
        </w:rPr>
      </w:pPr>
      <w:r w:rsidRPr="00346B76">
        <w:rPr>
          <w:rFonts w:ascii="DINOT-Bold" w:hAnsi="DINOT-Bold" w:cs="DINOT-Bold"/>
          <w:b/>
          <w:bCs/>
        </w:rPr>
        <w:t>VI. Create your beginning-of-unit diagnostic tool</w:t>
      </w:r>
    </w:p>
    <w:p w:rsidR="0073205A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  <w:r w:rsidRPr="00346B76">
        <w:rPr>
          <w:rFonts w:ascii="DINOT-Bold" w:hAnsi="DINOT-Bold" w:cs="DINOT-Bold"/>
        </w:rPr>
        <w:t>Successful teachers also know where their students are when they begin each unit. To avoid</w:t>
      </w:r>
      <w:r w:rsid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covering material that they already know, develop a diagnostic that assesses prerequisite skills</w:t>
      </w:r>
      <w:r w:rsid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and knowledge of unit objectives at the beginning of each unit. This will also provide you with a</w:t>
      </w:r>
      <w:r w:rsid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benchmark by which to measure future growth.</w:t>
      </w:r>
    </w:p>
    <w:p w:rsidR="00346B76" w:rsidRPr="00346B76" w:rsidRDefault="00346B76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  <w:b/>
          <w:bCs/>
        </w:rPr>
      </w:pPr>
      <w:r w:rsidRPr="00346B76">
        <w:rPr>
          <w:rFonts w:ascii="DINOT-Bold" w:hAnsi="DINOT-Bold" w:cs="DINOT-Bold"/>
          <w:b/>
          <w:bCs/>
        </w:rPr>
        <w:t>VII. Create a tracking system for your objectives</w:t>
      </w:r>
    </w:p>
    <w:p w:rsidR="0073205A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  <w:r w:rsidRPr="00346B76">
        <w:rPr>
          <w:rFonts w:ascii="DINOT-Bold" w:hAnsi="DINOT-Bold" w:cs="DINOT-Bold"/>
        </w:rPr>
        <w:t>Once you’ve determined what you’re teaching, you can now begin to create your classroom tracking</w:t>
      </w:r>
      <w:r w:rsid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system, a chart listing your objectives and your students’ names that will allow you to record and</w:t>
      </w:r>
      <w:r w:rsid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measure the progress of your class and students on the knowledge and skills you are teaching.</w:t>
      </w:r>
    </w:p>
    <w:p w:rsidR="00346B76" w:rsidRPr="00346B76" w:rsidRDefault="00346B76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Bold" w:hAnsi="DINOT-Bold" w:cs="DINOT-Bold"/>
          <w:b/>
          <w:bCs/>
        </w:rPr>
      </w:pPr>
      <w:r w:rsidRPr="00346B76">
        <w:rPr>
          <w:rFonts w:ascii="DINOT-Bold" w:hAnsi="DINOT-Bold" w:cs="DINOT-Bold"/>
          <w:b/>
          <w:bCs/>
        </w:rPr>
        <w:t>VIII. Continually adjust your plan</w:t>
      </w:r>
    </w:p>
    <w:p w:rsidR="00333E6D" w:rsidRPr="00346B76" w:rsidRDefault="0073205A" w:rsidP="00346B76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  <w:r w:rsidRPr="00346B76">
        <w:rPr>
          <w:rFonts w:ascii="DINOT-Bold" w:hAnsi="DINOT-Bold" w:cs="DINOT-Bold"/>
        </w:rPr>
        <w:t>Adjust your plans based on assessment data, including your diagnostic. Interpret your data to</w:t>
      </w:r>
      <w:r w:rsid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determine class strengths and weaknesses and tailor your instructional plans in response to this</w:t>
      </w:r>
      <w:r w:rsid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information. Determine ways to include remediation and review of prerequisite skills into your unit</w:t>
      </w:r>
      <w:r w:rsidR="00346B76">
        <w:rPr>
          <w:rFonts w:ascii="DINOT-Bold" w:hAnsi="DINOT-Bold" w:cs="DINOT-Bold"/>
        </w:rPr>
        <w:t xml:space="preserve"> </w:t>
      </w:r>
      <w:r w:rsidRPr="00346B76">
        <w:rPr>
          <w:rFonts w:ascii="DINOT-Bold" w:hAnsi="DINOT-Bold" w:cs="DINOT-Bold"/>
        </w:rPr>
        <w:t>calendar. Also, make sure to recheck your tools for alignment after making appropriate adjustments.</w:t>
      </w:r>
    </w:p>
    <w:p w:rsidR="0073205A" w:rsidRPr="00346B76" w:rsidRDefault="0073205A" w:rsidP="0073205A">
      <w:pPr>
        <w:rPr>
          <w:rFonts w:ascii="DINOT-Bold" w:hAnsi="DINOT-Bold" w:cs="DINOT-Bold"/>
        </w:rPr>
      </w:pPr>
    </w:p>
    <w:p w:rsidR="0073205A" w:rsidRDefault="0073205A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Default="003A6CA4" w:rsidP="0073205A">
      <w:pPr>
        <w:rPr>
          <w:rFonts w:ascii="DINOT-Bold" w:hAnsi="DINOT-Bold" w:cs="DINOT-Bold"/>
        </w:rPr>
      </w:pPr>
    </w:p>
    <w:p w:rsidR="003A6CA4" w:rsidRPr="00346B76" w:rsidRDefault="003A6CA4" w:rsidP="0073205A">
      <w:pPr>
        <w:rPr>
          <w:rFonts w:ascii="DINOT-Bold" w:hAnsi="DINOT-Bold" w:cs="DINOT-Bold"/>
        </w:rPr>
      </w:pPr>
    </w:p>
    <w:p w:rsidR="0073205A" w:rsidRPr="00346B76" w:rsidRDefault="0073205A" w:rsidP="0073205A">
      <w:pPr>
        <w:rPr>
          <w:rFonts w:ascii="DINOT-Bold" w:hAnsi="DINOT-Bold" w:cs="DINOT-Bold"/>
        </w:rPr>
      </w:pPr>
    </w:p>
    <w:p w:rsidR="0073205A" w:rsidRDefault="0073205A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To summarize, all lesson plans should be built around a student-learning-centered, measurable, and</w:t>
      </w:r>
      <w:r w:rsidR="003A6CA4">
        <w:rPr>
          <w:rFonts w:ascii="DINOT-Regular" w:hAnsi="DINOT-Regular" w:cs="DINOT-Regular"/>
        </w:rPr>
        <w:t xml:space="preserve"> </w:t>
      </w:r>
      <w:r w:rsidRPr="00346B76">
        <w:rPr>
          <w:rFonts w:ascii="DINOT-Regular" w:hAnsi="DINOT-Regular" w:cs="DINOT-Regular"/>
        </w:rPr>
        <w:t>rigorous objective that you derive from standards-aligned learning goals. One of the most common,</w:t>
      </w:r>
      <w:r w:rsidR="003A6CA4">
        <w:rPr>
          <w:rFonts w:ascii="DINOT-Regular" w:hAnsi="DINOT-Regular" w:cs="DINOT-Regular"/>
        </w:rPr>
        <w:t xml:space="preserve"> </w:t>
      </w:r>
      <w:r w:rsidRPr="00346B76">
        <w:rPr>
          <w:rFonts w:ascii="DINOT-Regular" w:hAnsi="DINOT-Regular" w:cs="DINOT-Regular"/>
        </w:rPr>
        <w:t>effective lesson plans has five stages:</w:t>
      </w:r>
    </w:p>
    <w:p w:rsidR="003A6CA4" w:rsidRPr="00346B76" w:rsidRDefault="003A6CA4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  <w:b/>
          <w:bCs/>
        </w:rPr>
        <w:t xml:space="preserve">(1) The Lesson Opening. </w:t>
      </w:r>
      <w:r w:rsidRPr="00346B76">
        <w:rPr>
          <w:rFonts w:ascii="DINOT-Regular" w:hAnsi="DINOT-Regular" w:cs="DINOT-Regular"/>
        </w:rPr>
        <w:t>The lesson opening should communicate: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 xml:space="preserve"> </w:t>
      </w:r>
      <w:proofErr w:type="gramStart"/>
      <w:r w:rsidRPr="00346B76">
        <w:rPr>
          <w:rFonts w:ascii="DINOT-Regular" w:hAnsi="DINOT-Regular" w:cs="DINOT-Regular"/>
        </w:rPr>
        <w:t>What</w:t>
      </w:r>
      <w:proofErr w:type="gramEnd"/>
      <w:r w:rsidRPr="00346B76">
        <w:rPr>
          <w:rFonts w:ascii="DINOT-Regular" w:hAnsi="DINOT-Regular" w:cs="DINOT-Regular"/>
        </w:rPr>
        <w:t xml:space="preserve"> is about to happen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 xml:space="preserve"> </w:t>
      </w:r>
      <w:proofErr w:type="gramStart"/>
      <w:r w:rsidRPr="00346B76">
        <w:rPr>
          <w:rFonts w:ascii="DINOT-Regular" w:hAnsi="DINOT-Regular" w:cs="DINOT-Regular"/>
        </w:rPr>
        <w:t>Why</w:t>
      </w:r>
      <w:proofErr w:type="gramEnd"/>
      <w:r w:rsidRPr="00346B76">
        <w:rPr>
          <w:rFonts w:ascii="DINOT-Regular" w:hAnsi="DINOT-Regular" w:cs="DINOT-Regular"/>
        </w:rPr>
        <w:t xml:space="preserve"> it is important for it to happen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 xml:space="preserve"> </w:t>
      </w:r>
      <w:proofErr w:type="gramStart"/>
      <w:r w:rsidRPr="00346B76">
        <w:rPr>
          <w:rFonts w:ascii="DINOT-Regular" w:hAnsi="DINOT-Regular" w:cs="DINOT-Regular"/>
        </w:rPr>
        <w:t>How</w:t>
      </w:r>
      <w:proofErr w:type="gramEnd"/>
      <w:r w:rsidRPr="00346B76">
        <w:rPr>
          <w:rFonts w:ascii="DINOT-Regular" w:hAnsi="DINOT-Regular" w:cs="DINOT-Regular"/>
        </w:rPr>
        <w:t xml:space="preserve"> it relates to what has been done previously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 xml:space="preserve"> </w:t>
      </w:r>
      <w:proofErr w:type="gramStart"/>
      <w:r w:rsidRPr="00346B76">
        <w:rPr>
          <w:rFonts w:ascii="DINOT-Regular" w:hAnsi="DINOT-Regular" w:cs="DINOT-Regular"/>
        </w:rPr>
        <w:t>How</w:t>
      </w:r>
      <w:proofErr w:type="gramEnd"/>
      <w:r w:rsidRPr="00346B76">
        <w:rPr>
          <w:rFonts w:ascii="DINOT-Regular" w:hAnsi="DINOT-Regular" w:cs="DINOT-Regular"/>
        </w:rPr>
        <w:t xml:space="preserve"> it is going to happen</w:t>
      </w: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It should also: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Engage students and capture their interest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Provide and model clear expectations for student behavior (if necessary).</w:t>
      </w:r>
    </w:p>
    <w:p w:rsidR="0073205A" w:rsidRDefault="0073205A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Remember that a component of opening the lesson is assessing student understanding by asking</w:t>
      </w:r>
      <w:r w:rsidR="003A6CA4">
        <w:rPr>
          <w:rFonts w:ascii="DINOT-Regular" w:hAnsi="DINOT-Regular" w:cs="DINOT-Regular"/>
        </w:rPr>
        <w:t xml:space="preserve"> </w:t>
      </w:r>
      <w:r w:rsidRPr="00346B76">
        <w:rPr>
          <w:rFonts w:ascii="DINOT-Regular" w:hAnsi="DINOT-Regular" w:cs="DINOT-Regular"/>
        </w:rPr>
        <w:t>students to summarize expectations and allowing students to ask clarifying questions.</w:t>
      </w:r>
    </w:p>
    <w:p w:rsidR="003A6CA4" w:rsidRPr="00346B76" w:rsidRDefault="003A6CA4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  <w:b/>
          <w:bCs/>
        </w:rPr>
        <w:t>(2) The Introduction to New Material</w:t>
      </w:r>
      <w:r w:rsidRPr="00346B76">
        <w:rPr>
          <w:rFonts w:ascii="DINOT-Regular" w:hAnsi="DINOT-Regular" w:cs="DINOT-Regular"/>
        </w:rPr>
        <w:t>. During this phase, you should: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Emphasize and reiterate key points instead of drowning students in details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Build in activities that allow students to “take in” the information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Use multiple approaches, such as using different senses and different angles to get at</w:t>
      </w:r>
      <w:r w:rsidR="003A6CA4">
        <w:rPr>
          <w:rFonts w:ascii="DINOT-Regular" w:hAnsi="DINOT-Regular" w:cs="DINOT-Regular"/>
        </w:rPr>
        <w:t xml:space="preserve"> </w:t>
      </w:r>
      <w:r w:rsidRPr="00346B76">
        <w:rPr>
          <w:rFonts w:ascii="DINOT-Regular" w:hAnsi="DINOT-Regular" w:cs="DINOT-Regular"/>
        </w:rPr>
        <w:t>information and make it accessible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 xml:space="preserve"> </w:t>
      </w:r>
      <w:proofErr w:type="gramStart"/>
      <w:r w:rsidRPr="00346B76">
        <w:rPr>
          <w:rFonts w:ascii="DINOT-Regular" w:hAnsi="DINOT-Regular" w:cs="DINOT-Regular"/>
        </w:rPr>
        <w:t>Be</w:t>
      </w:r>
      <w:proofErr w:type="gramEnd"/>
      <w:r w:rsidRPr="00346B76">
        <w:rPr>
          <w:rFonts w:ascii="DINOT-Regular" w:hAnsi="DINOT-Regular" w:cs="DINOT-Regular"/>
        </w:rPr>
        <w:t xml:space="preserve"> mindful of potential misunderstandings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Make purposeful choices when making instructional delivery decisions</w:t>
      </w: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  <w:b/>
          <w:bCs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  <w:b/>
          <w:bCs/>
        </w:rPr>
        <w:t xml:space="preserve">(3) The Guided Practice of New Material. </w:t>
      </w:r>
      <w:r w:rsidRPr="00346B76">
        <w:rPr>
          <w:rFonts w:ascii="DINOT-Regular" w:hAnsi="DINOT-Regular" w:cs="DINOT-Regular"/>
        </w:rPr>
        <w:t>During this phase, you should: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 xml:space="preserve"> </w:t>
      </w:r>
      <w:proofErr w:type="gramStart"/>
      <w:r w:rsidRPr="00346B76">
        <w:rPr>
          <w:rFonts w:ascii="DINOT-Regular" w:hAnsi="DINOT-Regular" w:cs="DINOT-Regular"/>
        </w:rPr>
        <w:t>Be</w:t>
      </w:r>
      <w:proofErr w:type="gramEnd"/>
      <w:r w:rsidRPr="00346B76">
        <w:rPr>
          <w:rFonts w:ascii="DINOT-Regular" w:hAnsi="DINOT-Regular" w:cs="DINOT-Regular"/>
        </w:rPr>
        <w:t xml:space="preserve"> clear about and model behavioral expectations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Use multiple opportunities for practice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Scaffold practice exercises from easy to hard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Ensure that all students have an opportunity to practice (consider both choral responses and</w:t>
      </w:r>
      <w:r w:rsidR="003A6CA4">
        <w:rPr>
          <w:rFonts w:ascii="DINOT-Regular" w:hAnsi="DINOT-Regular" w:cs="DINOT-Regular"/>
        </w:rPr>
        <w:t xml:space="preserve"> </w:t>
      </w:r>
      <w:r w:rsidRPr="00346B76">
        <w:rPr>
          <w:rFonts w:ascii="DINOT-Regular" w:hAnsi="DINOT-Regular" w:cs="DINOT-Regular"/>
        </w:rPr>
        <w:t>individual responses)</w:t>
      </w:r>
    </w:p>
    <w:p w:rsidR="0073205A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Monitor and correct student performance</w:t>
      </w:r>
    </w:p>
    <w:p w:rsidR="003A6CA4" w:rsidRPr="00346B76" w:rsidRDefault="003A6CA4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  <w:b/>
          <w:bCs/>
        </w:rPr>
        <w:t>(4) The Independent Practice</w:t>
      </w:r>
      <w:r w:rsidRPr="00346B76">
        <w:rPr>
          <w:rFonts w:ascii="DINOT-Regular" w:hAnsi="DINOT-Regular" w:cs="DINOT-Regular"/>
        </w:rPr>
        <w:t>. During this phase, you should: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 xml:space="preserve"> </w:t>
      </w:r>
      <w:proofErr w:type="gramStart"/>
      <w:r w:rsidRPr="00346B76">
        <w:rPr>
          <w:rFonts w:ascii="DINOT-Regular" w:hAnsi="DINOT-Regular" w:cs="DINOT-Regular"/>
        </w:rPr>
        <w:t>Be</w:t>
      </w:r>
      <w:proofErr w:type="gramEnd"/>
      <w:r w:rsidRPr="00346B76">
        <w:rPr>
          <w:rFonts w:ascii="DINOT-Regular" w:hAnsi="DINOT-Regular" w:cs="DINOT-Regular"/>
        </w:rPr>
        <w:t xml:space="preserve"> clear about and model behavioral expectations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Ensure that the activity reflects the achievement of the objective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Ensure that all students can demonstrate the skill or knowledge independently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Provide opportunity for extension</w:t>
      </w:r>
    </w:p>
    <w:p w:rsidR="0073205A" w:rsidRDefault="0073205A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You can choose to administer a formative assessment to determine student mastery of the</w:t>
      </w:r>
      <w:r w:rsidR="003A6CA4">
        <w:rPr>
          <w:rFonts w:ascii="DINOT-Regular" w:hAnsi="DINOT-Regular" w:cs="DINOT-Regular"/>
        </w:rPr>
        <w:t xml:space="preserve"> </w:t>
      </w:r>
      <w:r w:rsidRPr="00346B76">
        <w:rPr>
          <w:rFonts w:ascii="DINOT-Regular" w:hAnsi="DINOT-Regular" w:cs="DINOT-Regular"/>
        </w:rPr>
        <w:t>objective during the Independent Practice.</w:t>
      </w:r>
    </w:p>
    <w:p w:rsidR="003A6CA4" w:rsidRPr="00346B76" w:rsidRDefault="003A6CA4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</w:p>
    <w:p w:rsidR="0073205A" w:rsidRPr="00346B76" w:rsidRDefault="0073205A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  <w:b/>
          <w:bCs/>
        </w:rPr>
        <w:t xml:space="preserve">(5) The Lesson Closing. </w:t>
      </w:r>
      <w:r w:rsidRPr="00346B76">
        <w:rPr>
          <w:rFonts w:ascii="DINOT-Regular" w:hAnsi="DINOT-Regular" w:cs="DINOT-Regular"/>
        </w:rPr>
        <w:t>Your 5-10 min. closing should address the following questions: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 xml:space="preserve"> </w:t>
      </w:r>
      <w:proofErr w:type="gramStart"/>
      <w:r w:rsidRPr="00346B76">
        <w:rPr>
          <w:rFonts w:ascii="DINOT-Regular" w:hAnsi="DINOT-Regular" w:cs="DINOT-Regular"/>
        </w:rPr>
        <w:t>What</w:t>
      </w:r>
      <w:proofErr w:type="gramEnd"/>
      <w:r w:rsidRPr="00346B76">
        <w:rPr>
          <w:rFonts w:ascii="DINOT-Regular" w:hAnsi="DINOT-Regular" w:cs="DINOT-Regular"/>
        </w:rPr>
        <w:t xml:space="preserve"> did we learn today?</w:t>
      </w:r>
    </w:p>
    <w:p w:rsidR="0073205A" w:rsidRPr="00346B76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 xml:space="preserve"> </w:t>
      </w:r>
      <w:proofErr w:type="gramStart"/>
      <w:r w:rsidRPr="00346B76">
        <w:rPr>
          <w:rFonts w:ascii="DINOT-Regular" w:hAnsi="DINOT-Regular" w:cs="DINOT-Regular"/>
        </w:rPr>
        <w:t>What</w:t>
      </w:r>
      <w:proofErr w:type="gramEnd"/>
      <w:r w:rsidRPr="00346B76">
        <w:rPr>
          <w:rFonts w:ascii="DINOT-Regular" w:hAnsi="DINOT-Regular" w:cs="DINOT-Regular"/>
        </w:rPr>
        <w:t xml:space="preserve"> was the significance of what we learned?</w:t>
      </w:r>
    </w:p>
    <w:p w:rsidR="003A6CA4" w:rsidRDefault="0073205A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 Can students demonstrate achievement of or progress towards the objective (if you haven’t</w:t>
      </w:r>
      <w:r w:rsidR="003A6CA4">
        <w:rPr>
          <w:rFonts w:ascii="DINOT-Regular" w:hAnsi="DINOT-Regular" w:cs="DINOT-Regular"/>
        </w:rPr>
        <w:t xml:space="preserve"> </w:t>
      </w:r>
      <w:r w:rsidRPr="00346B76">
        <w:rPr>
          <w:rFonts w:ascii="DINOT-Regular" w:hAnsi="DINOT-Regular" w:cs="DINOT-Regular"/>
        </w:rPr>
        <w:t>assessed them already)?</w:t>
      </w:r>
      <w:r w:rsidR="003A6CA4">
        <w:rPr>
          <w:rFonts w:ascii="DINOT-Regular" w:hAnsi="DINOT-Regular" w:cs="DINOT-Regular"/>
        </w:rPr>
        <w:t xml:space="preserve"> </w:t>
      </w:r>
    </w:p>
    <w:p w:rsidR="003A6CA4" w:rsidRDefault="003A6CA4" w:rsidP="003A6CA4">
      <w:pPr>
        <w:widowControl w:val="0"/>
        <w:autoSpaceDE w:val="0"/>
        <w:autoSpaceDN w:val="0"/>
        <w:adjustRightInd w:val="0"/>
        <w:ind w:left="720"/>
        <w:rPr>
          <w:rFonts w:ascii="DINOT-Regular" w:hAnsi="DINOT-Regular" w:cs="DINOT-Regular"/>
        </w:rPr>
      </w:pPr>
    </w:p>
    <w:p w:rsidR="0073205A" w:rsidRDefault="0073205A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  <w:r w:rsidRPr="00346B76">
        <w:rPr>
          <w:rFonts w:ascii="DINOT-Regular" w:hAnsi="DINOT-Regular" w:cs="DINOT-Regular"/>
        </w:rPr>
        <w:t>Remember to plan your lesson pacing so that it supports student learning – allocate sufficient</w:t>
      </w:r>
      <w:r w:rsidR="003A6CA4">
        <w:rPr>
          <w:rFonts w:ascii="DINOT-Regular" w:hAnsi="DINOT-Regular" w:cs="DINOT-Regular"/>
        </w:rPr>
        <w:t xml:space="preserve"> time for </w:t>
      </w:r>
      <w:bookmarkStart w:id="0" w:name="_GoBack"/>
      <w:bookmarkEnd w:id="0"/>
      <w:r w:rsidRPr="00346B76">
        <w:rPr>
          <w:rFonts w:ascii="DINOT-Regular" w:hAnsi="DINOT-Regular" w:cs="DINOT-Regular"/>
        </w:rPr>
        <w:t>guided and independent practice.</w:t>
      </w:r>
    </w:p>
    <w:p w:rsidR="003A6CA4" w:rsidRPr="00346B76" w:rsidRDefault="003A6CA4" w:rsidP="0073205A">
      <w:pPr>
        <w:widowControl w:val="0"/>
        <w:autoSpaceDE w:val="0"/>
        <w:autoSpaceDN w:val="0"/>
        <w:adjustRightInd w:val="0"/>
        <w:rPr>
          <w:rFonts w:ascii="DINOT-Regular" w:hAnsi="DINOT-Regular" w:cs="DINOT-Regular"/>
        </w:rPr>
      </w:pPr>
    </w:p>
    <w:p w:rsidR="0073205A" w:rsidRPr="00346B76" w:rsidRDefault="0073205A" w:rsidP="003A6CA4">
      <w:pPr>
        <w:widowControl w:val="0"/>
        <w:autoSpaceDE w:val="0"/>
        <w:autoSpaceDN w:val="0"/>
        <w:adjustRightInd w:val="0"/>
        <w:rPr>
          <w:rFonts w:ascii="DINOT-Bold" w:hAnsi="DINOT-Bold" w:cs="DINOT-Bold"/>
        </w:rPr>
      </w:pPr>
      <w:r w:rsidRPr="00346B76">
        <w:rPr>
          <w:rFonts w:ascii="DINOT-Regular" w:hAnsi="DINOT-Regular" w:cs="DINOT-Regular"/>
        </w:rPr>
        <w:t>You are now familiar with the pieces of the Five-Step Lesson Plan—a process for helping students</w:t>
      </w:r>
      <w:r w:rsidR="003A6CA4">
        <w:rPr>
          <w:rFonts w:ascii="DINOT-Regular" w:hAnsi="DINOT-Regular" w:cs="DINOT-Regular"/>
        </w:rPr>
        <w:t xml:space="preserve"> </w:t>
      </w:r>
      <w:r w:rsidRPr="00346B76">
        <w:rPr>
          <w:rFonts w:ascii="DINOT-Regular" w:hAnsi="DINOT-Regular" w:cs="DINOT-Regular"/>
        </w:rPr>
        <w:t>acquire knowledge and skills they did not have before entering the classroom. In the next two chapters,</w:t>
      </w:r>
      <w:r w:rsidR="003A6CA4">
        <w:rPr>
          <w:rFonts w:ascii="DINOT-Regular" w:hAnsi="DINOT-Regular" w:cs="DINOT-Regular"/>
        </w:rPr>
        <w:t xml:space="preserve"> </w:t>
      </w:r>
      <w:r w:rsidRPr="00346B76">
        <w:rPr>
          <w:rFonts w:ascii="DINOT-Regular" w:hAnsi="DINOT-Regular" w:cs="DINOT-Regular"/>
        </w:rPr>
        <w:t>you will learn the different strategies that can serve to introduce new material and help students</w:t>
      </w:r>
      <w:r w:rsidR="003A6CA4">
        <w:rPr>
          <w:rFonts w:ascii="DINOT-Regular" w:hAnsi="DINOT-Regular" w:cs="DINOT-Regular"/>
        </w:rPr>
        <w:t xml:space="preserve"> </w:t>
      </w:r>
      <w:r w:rsidRPr="00346B76">
        <w:rPr>
          <w:rFonts w:ascii="DINOT-Regular" w:hAnsi="DINOT-Regular" w:cs="DINOT-Regular"/>
        </w:rPr>
        <w:t>practice, as well as the factors involved in choosing between these strategies.</w:t>
      </w:r>
    </w:p>
    <w:p w:rsidR="0073205A" w:rsidRPr="00346B76" w:rsidRDefault="0073205A" w:rsidP="0073205A"/>
    <w:sectPr w:rsidR="0073205A" w:rsidRPr="00346B76" w:rsidSect="00333E6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INOT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INOT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05A"/>
    <w:rsid w:val="000C47D4"/>
    <w:rsid w:val="00333E6D"/>
    <w:rsid w:val="00346B76"/>
    <w:rsid w:val="003A6CA4"/>
    <w:rsid w:val="0073205A"/>
    <w:rsid w:val="00F113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ECA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929</Words>
  <Characters>5296</Characters>
  <Application>Microsoft Macintosh Word</Application>
  <DocSecurity>0</DocSecurity>
  <Lines>44</Lines>
  <Paragraphs>12</Paragraphs>
  <ScaleCrop>false</ScaleCrop>
  <Company/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Ward</dc:creator>
  <cp:keywords/>
  <dc:description/>
  <cp:lastModifiedBy>Patricia Ward</cp:lastModifiedBy>
  <cp:revision>1</cp:revision>
  <dcterms:created xsi:type="dcterms:W3CDTF">2012-01-19T12:59:00Z</dcterms:created>
  <dcterms:modified xsi:type="dcterms:W3CDTF">2012-01-20T00:56:00Z</dcterms:modified>
</cp:coreProperties>
</file>